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68" w:rsidRPr="00132ECF" w:rsidRDefault="006C21DA" w:rsidP="00403C68">
      <w:pPr>
        <w:shd w:val="clear" w:color="auto" w:fill="FFFFFF"/>
        <w:spacing w:before="100" w:beforeAutospacing="1" w:after="100" w:afterAutospacing="1" w:line="240" w:lineRule="auto"/>
        <w:outlineLvl w:val="2"/>
        <w:rPr>
          <w:rFonts w:ascii="Verdana" w:eastAsia="Times New Roman" w:hAnsi="Verdana" w:cs="Times New Roman"/>
          <w:b/>
          <w:bCs/>
          <w:color w:val="545353"/>
          <w:sz w:val="27"/>
          <w:szCs w:val="27"/>
          <w:lang w:val="nl-NL"/>
        </w:rPr>
      </w:pPr>
      <w:r>
        <w:rPr>
          <w:rFonts w:ascii="Verdana" w:eastAsia="Times New Roman" w:hAnsi="Verdana" w:cs="Times New Roman"/>
          <w:b/>
          <w:bCs/>
          <w:color w:val="545353"/>
          <w:sz w:val="27"/>
          <w:szCs w:val="27"/>
          <w:lang w:val="nl-NL"/>
        </w:rPr>
        <w:t>Permanente vorming ‘</w:t>
      </w:r>
      <w:r w:rsidR="00403C68" w:rsidRPr="00132ECF">
        <w:rPr>
          <w:rFonts w:ascii="Verdana" w:eastAsia="Times New Roman" w:hAnsi="Verdana" w:cs="Times New Roman"/>
          <w:b/>
          <w:bCs/>
          <w:color w:val="545353"/>
          <w:sz w:val="27"/>
          <w:szCs w:val="27"/>
          <w:lang w:val="nl-NL"/>
        </w:rPr>
        <w:t>Referentieverpleegkundige in de wondzorg</w:t>
      </w:r>
      <w:r>
        <w:rPr>
          <w:rFonts w:ascii="Verdana" w:eastAsia="Times New Roman" w:hAnsi="Verdana" w:cs="Times New Roman"/>
          <w:b/>
          <w:bCs/>
          <w:color w:val="545353"/>
          <w:sz w:val="27"/>
          <w:szCs w:val="27"/>
          <w:lang w:val="nl-NL"/>
        </w:rPr>
        <w:t>’</w:t>
      </w:r>
      <w:r w:rsidR="00B66D0A">
        <w:rPr>
          <w:rFonts w:ascii="Verdana" w:eastAsia="Times New Roman" w:hAnsi="Verdana" w:cs="Times New Roman"/>
          <w:b/>
          <w:bCs/>
          <w:color w:val="545353"/>
          <w:sz w:val="27"/>
          <w:szCs w:val="27"/>
          <w:lang w:val="nl-NL"/>
        </w:rPr>
        <w:t xml:space="preserve"> aan de </w:t>
      </w:r>
      <w:r w:rsidR="00B66D0A" w:rsidRPr="00B66D0A">
        <w:rPr>
          <w:rFonts w:ascii="Verdana" w:eastAsia="Times New Roman" w:hAnsi="Verdana" w:cs="Times New Roman"/>
          <w:b/>
          <w:bCs/>
          <w:color w:val="545353"/>
          <w:sz w:val="27"/>
          <w:szCs w:val="27"/>
          <w:lang w:val="nl-NL"/>
        </w:rPr>
        <w:t>UC Leuven-Limburg</w:t>
      </w:r>
      <w:bookmarkStart w:id="0" w:name="_GoBack"/>
      <w:bookmarkEnd w:id="0"/>
    </w:p>
    <w:p w:rsidR="00D76AC9" w:rsidRPr="006C21DA" w:rsidRDefault="00D76AC9" w:rsidP="00D76AC9">
      <w:pPr>
        <w:shd w:val="clear" w:color="auto" w:fill="FFFFFF"/>
        <w:spacing w:after="0" w:line="240" w:lineRule="auto"/>
        <w:outlineLvl w:val="3"/>
        <w:rPr>
          <w:rFonts w:ascii="Verdana" w:eastAsia="Times New Roman" w:hAnsi="Verdana" w:cs="Times New Roman"/>
          <w:b/>
          <w:bCs/>
          <w:sz w:val="20"/>
          <w:szCs w:val="20"/>
          <w:lang w:val="nl-NL"/>
        </w:rPr>
      </w:pPr>
      <w:r>
        <w:rPr>
          <w:rFonts w:ascii="Verdana" w:eastAsia="Times New Roman" w:hAnsi="Verdana" w:cs="Times New Roman"/>
          <w:b/>
          <w:bCs/>
          <w:sz w:val="20"/>
          <w:szCs w:val="20"/>
          <w:lang w:val="nl-NL"/>
        </w:rPr>
        <w:t>Leerdoelen cursus</w:t>
      </w:r>
    </w:p>
    <w:p w:rsidR="00403C68" w:rsidRPr="00947B9C" w:rsidRDefault="00D76AC9" w:rsidP="009C4942">
      <w:pPr>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In de cursus komen</w:t>
      </w:r>
      <w:r w:rsidR="00403C68" w:rsidRPr="00947B9C">
        <w:rPr>
          <w:rFonts w:ascii="Verdana" w:eastAsia="Times New Roman" w:hAnsi="Verdana" w:cs="Times New Roman"/>
          <w:sz w:val="15"/>
          <w:szCs w:val="15"/>
          <w:lang w:val="nl-NL"/>
        </w:rPr>
        <w:t xml:space="preserve"> volgende </w:t>
      </w:r>
      <w:r w:rsidR="00195F3D" w:rsidRPr="00947B9C">
        <w:rPr>
          <w:rFonts w:ascii="Verdana" w:eastAsia="Times New Roman" w:hAnsi="Verdana" w:cs="Times New Roman"/>
          <w:sz w:val="15"/>
          <w:szCs w:val="15"/>
          <w:lang w:val="nl-NL"/>
        </w:rPr>
        <w:t>topics</w:t>
      </w:r>
      <w:r w:rsidR="00403C68" w:rsidRPr="00947B9C">
        <w:rPr>
          <w:rFonts w:ascii="Verdana" w:eastAsia="Times New Roman" w:hAnsi="Verdana" w:cs="Times New Roman"/>
          <w:sz w:val="15"/>
          <w:szCs w:val="15"/>
          <w:lang w:val="nl-NL"/>
        </w:rPr>
        <w:t xml:space="preserve"> aan bod:</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Fysiologie en fysiopathologie van de wondheling</w:t>
      </w:r>
    </w:p>
    <w:p w:rsidR="00D76AC9" w:rsidRPr="00947B9C" w:rsidRDefault="007B085D" w:rsidP="00D76AC9">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Er wordt dieper ingegaan op de verschillende factoren die een belangrijke rol spelen in de fysiologie van de wondheling, maar eveneens de factoren die de wondheling negatief kunnen beïnvloeden. Ook de relatie tussen wondzorg en het belang van goede voeding wordt meer uitgebreid besproken.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Basisprincipes in de wondzorg</w:t>
      </w:r>
    </w:p>
    <w:p w:rsidR="007B085D" w:rsidRPr="00947B9C" w:rsidRDefault="007B085D" w:rsidP="007B085D">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Er wordt aandacht besteed aan de verschillende aspecten die een invloed hebben op de wondzorg vanuit verpleegkundig perspectief.  De basisprincipes wordt uitgebreid behandeld volgens het TIME principe.</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Wondzorg en hygiëne</w:t>
      </w:r>
    </w:p>
    <w:p w:rsidR="007B085D" w:rsidRPr="00947B9C" w:rsidRDefault="007B085D" w:rsidP="007B085D">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 xml:space="preserve">Verschillende topics als </w:t>
      </w:r>
      <w:proofErr w:type="spellStart"/>
      <w:r>
        <w:rPr>
          <w:rFonts w:ascii="Verdana" w:eastAsia="Times New Roman" w:hAnsi="Verdana" w:cs="Times New Roman"/>
          <w:sz w:val="15"/>
          <w:szCs w:val="15"/>
          <w:lang w:val="nl-NL"/>
        </w:rPr>
        <w:t>wondontsmettingsprodukten</w:t>
      </w:r>
      <w:proofErr w:type="spellEnd"/>
      <w:r>
        <w:rPr>
          <w:rFonts w:ascii="Verdana" w:eastAsia="Times New Roman" w:hAnsi="Verdana" w:cs="Times New Roman"/>
          <w:sz w:val="15"/>
          <w:szCs w:val="15"/>
          <w:lang w:val="nl-NL"/>
        </w:rPr>
        <w:t>, afname wondcultuur, isolatiemaatregelen en relevante bacteriën in de wondzorg worden besproken.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Gebruik van verbandmiddelen en vacuümtherapie</w:t>
      </w:r>
    </w:p>
    <w:p w:rsidR="007B085D" w:rsidRPr="00947B9C" w:rsidRDefault="007B085D" w:rsidP="007B085D">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 xml:space="preserve">Er wordt een overzicht gegeven van alle verschillende </w:t>
      </w:r>
      <w:proofErr w:type="spellStart"/>
      <w:r>
        <w:rPr>
          <w:rFonts w:ascii="Verdana" w:eastAsia="Times New Roman" w:hAnsi="Verdana" w:cs="Times New Roman"/>
          <w:sz w:val="15"/>
          <w:szCs w:val="15"/>
          <w:lang w:val="nl-NL"/>
        </w:rPr>
        <w:t>wondprodukten</w:t>
      </w:r>
      <w:proofErr w:type="spellEnd"/>
      <w:r>
        <w:rPr>
          <w:rFonts w:ascii="Verdana" w:eastAsia="Times New Roman" w:hAnsi="Verdana" w:cs="Times New Roman"/>
          <w:sz w:val="15"/>
          <w:szCs w:val="15"/>
          <w:lang w:val="nl-NL"/>
        </w:rPr>
        <w:t xml:space="preserve"> met hun kenmerken en indicaties. Ook vacuümtherapie wordt uitgebreid behandeld met indicatiestelling, problemen die hierbij kunnen optreden evenals de praktische toepassing ervan.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Heelkundige behandeling van wonden</w:t>
      </w:r>
    </w:p>
    <w:p w:rsidR="007B085D" w:rsidRPr="00947B9C" w:rsidRDefault="007B085D" w:rsidP="007B085D">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De verschillende chirurgische technieken om een wonde te sluiten worden besproken vanuit medisch en verpleegkundig perspectief.</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Decubituspreventie</w:t>
      </w:r>
    </w:p>
    <w:p w:rsidR="007B085D" w:rsidRPr="00947B9C" w:rsidRDefault="007B085D" w:rsidP="007B085D">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 xml:space="preserve">Het factoren die het ontstaan van decubitus in de hand werken worden besproken, evenals alle preventieve maatregelen op basis van EB literatuur. </w:t>
      </w:r>
      <w:r w:rsidR="00735E96">
        <w:rPr>
          <w:rFonts w:ascii="Verdana" w:eastAsia="Times New Roman" w:hAnsi="Verdana" w:cs="Times New Roman"/>
          <w:sz w:val="15"/>
          <w:szCs w:val="15"/>
          <w:lang w:val="nl-NL"/>
        </w:rPr>
        <w:t xml:space="preserve"> Er is ook een praktijksessie aan verbonden om aan te leren hoe je adequate preventie kan toepassen.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Verzorging van traumatische en chirurgische wonden</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De verschillende soorten traumatische wonden worden besproken met hun aandachtspunten en de EHBO hierbij.  Ook de problemen bij chirurgische wonden wordt uitgebreid besproken met aandachtspunten en concrete behandelvoorstellen.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Stomazorg</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De verschillende problemen die kunnen optreden in de stomazorg al dan niet met fistels worden behandeld, evenals de oplossingen hiervoor en de verschillende producten die hiervoor op de markt zijn.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Brandwondenzorg en preventie</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De brandwondenzorg wordt behandeld in al zijn aspecten gaande van preventie, EHBO, opname in een brandwondencentrum, mogelijke behandelingen en nazorg.</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Diabetesvoet, ulcus cruris en vasculaire letsels</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Deze complexe problematiek wordt behandeld vanuit verschillende disciplines. Elke van hen geeft een uiteenzetting van de specifieke problematiek met elk hun aandachtspunten.</w:t>
      </w:r>
    </w:p>
    <w:p w:rsidR="00403C68"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Bestralingswonden en oncologische wondzorg</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Bij dit onderwerp worden de concrete problemen zoals geurhinder, infectie, exsudaat, pijn, psychische aspecten…  uitgebreid behandeld en worden tips gegeven om het comfort van de patiënt te optimaliseren.</w:t>
      </w:r>
    </w:p>
    <w:p w:rsidR="00403C68" w:rsidRDefault="00F46F3D"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Casuïstiek</w:t>
      </w:r>
      <w:r w:rsidR="00403C68" w:rsidRPr="00947B9C">
        <w:rPr>
          <w:rFonts w:ascii="Verdana" w:eastAsia="Times New Roman" w:hAnsi="Verdana" w:cs="Times New Roman"/>
          <w:sz w:val="15"/>
          <w:szCs w:val="15"/>
          <w:lang w:val="nl-NL"/>
        </w:rPr>
        <w:t xml:space="preserve"> en </w:t>
      </w:r>
      <w:proofErr w:type="spellStart"/>
      <w:r w:rsidR="00403C68" w:rsidRPr="00947B9C">
        <w:rPr>
          <w:rFonts w:ascii="Verdana" w:eastAsia="Times New Roman" w:hAnsi="Verdana" w:cs="Times New Roman"/>
          <w:sz w:val="15"/>
          <w:szCs w:val="15"/>
          <w:lang w:val="nl-NL"/>
        </w:rPr>
        <w:t>produktinfo</w:t>
      </w:r>
      <w:proofErr w:type="spellEnd"/>
      <w:r w:rsidR="00403C68" w:rsidRPr="00947B9C">
        <w:rPr>
          <w:rFonts w:ascii="Verdana" w:eastAsia="Times New Roman" w:hAnsi="Verdana" w:cs="Times New Roman"/>
          <w:sz w:val="15"/>
          <w:szCs w:val="15"/>
          <w:lang w:val="nl-NL"/>
        </w:rPr>
        <w:t xml:space="preserve"> door firma’s</w:t>
      </w:r>
    </w:p>
    <w:p w:rsidR="00735E96" w:rsidRPr="00947B9C" w:rsidRDefault="00735E96" w:rsidP="00735E96">
      <w:pPr>
        <w:pStyle w:val="Lijstalinea"/>
        <w:numPr>
          <w:ilvl w:val="1"/>
          <w:numId w:val="1"/>
        </w:numPr>
        <w:shd w:val="clear" w:color="auto" w:fill="FFFFFF"/>
        <w:spacing w:after="0" w:line="240" w:lineRule="auto"/>
        <w:rPr>
          <w:rFonts w:ascii="Verdana" w:eastAsia="Times New Roman" w:hAnsi="Verdana" w:cs="Times New Roman"/>
          <w:sz w:val="15"/>
          <w:szCs w:val="15"/>
          <w:lang w:val="nl-NL"/>
        </w:rPr>
      </w:pPr>
      <w:r>
        <w:rPr>
          <w:rFonts w:ascii="Verdana" w:eastAsia="Times New Roman" w:hAnsi="Verdana" w:cs="Times New Roman"/>
          <w:sz w:val="15"/>
          <w:szCs w:val="15"/>
          <w:lang w:val="nl-NL"/>
        </w:rPr>
        <w:t>Verschillende wondzorg firma’s komen hun producten voorstellen. Dit gebeurt in kleine groepjes zodat er heel gericht info kan gegeven worden en er voldoende ruimte is voor vraagstelling van de deelnemers.</w:t>
      </w:r>
    </w:p>
    <w:p w:rsidR="00403C68" w:rsidRPr="00947B9C" w:rsidRDefault="00403C68" w:rsidP="009C4942">
      <w:pPr>
        <w:pStyle w:val="Lijstalinea"/>
        <w:numPr>
          <w:ilvl w:val="0"/>
          <w:numId w:val="1"/>
        </w:numPr>
        <w:shd w:val="clear" w:color="auto" w:fill="FFFFFF"/>
        <w:spacing w:after="0" w:line="240" w:lineRule="auto"/>
        <w:rPr>
          <w:rFonts w:ascii="Verdana" w:eastAsia="Times New Roman" w:hAnsi="Verdana" w:cs="Times New Roman"/>
          <w:sz w:val="15"/>
          <w:szCs w:val="15"/>
          <w:lang w:val="nl-NL"/>
        </w:rPr>
      </w:pPr>
      <w:r w:rsidRPr="00947B9C">
        <w:rPr>
          <w:rFonts w:ascii="Verdana" w:eastAsia="Times New Roman" w:hAnsi="Verdana" w:cs="Times New Roman"/>
          <w:sz w:val="15"/>
          <w:szCs w:val="15"/>
          <w:lang w:val="nl-NL"/>
        </w:rPr>
        <w:t>Praktische oefeningen rond vacuümtherapie, compressietherapie</w:t>
      </w:r>
      <w:r w:rsidR="00F46F3D" w:rsidRPr="00947B9C">
        <w:rPr>
          <w:rFonts w:ascii="Verdana" w:eastAsia="Times New Roman" w:hAnsi="Verdana" w:cs="Times New Roman"/>
          <w:sz w:val="15"/>
          <w:szCs w:val="15"/>
          <w:lang w:val="nl-NL"/>
        </w:rPr>
        <w:t>, viltapplicatie</w:t>
      </w:r>
      <w:r w:rsidRPr="00947B9C">
        <w:rPr>
          <w:rFonts w:ascii="Verdana" w:eastAsia="Times New Roman" w:hAnsi="Verdana" w:cs="Times New Roman"/>
          <w:sz w:val="15"/>
          <w:szCs w:val="15"/>
          <w:lang w:val="nl-NL"/>
        </w:rPr>
        <w:t xml:space="preserve"> en decubituspreventie</w:t>
      </w:r>
    </w:p>
    <w:p w:rsidR="00403C68" w:rsidRPr="00947B9C" w:rsidRDefault="00403C68" w:rsidP="009C4942">
      <w:pPr>
        <w:shd w:val="clear" w:color="auto" w:fill="FFFFFF"/>
        <w:spacing w:after="0" w:line="240" w:lineRule="auto"/>
        <w:outlineLvl w:val="3"/>
        <w:rPr>
          <w:rFonts w:ascii="Verdana" w:eastAsia="Times New Roman" w:hAnsi="Verdana" w:cs="Times New Roman"/>
          <w:b/>
          <w:bCs/>
          <w:sz w:val="24"/>
          <w:szCs w:val="24"/>
          <w:lang w:val="nl-NL"/>
        </w:rPr>
      </w:pPr>
      <w:r w:rsidRPr="00947B9C">
        <w:rPr>
          <w:rFonts w:ascii="Verdana" w:eastAsia="Times New Roman" w:hAnsi="Verdana" w:cs="Times New Roman"/>
          <w:sz w:val="15"/>
          <w:szCs w:val="15"/>
          <w:lang w:val="nl-NL"/>
        </w:rPr>
        <w:t>De evaluatie bestaat uit een paper o</w:t>
      </w:r>
      <w:r w:rsidR="006C21DA">
        <w:rPr>
          <w:rFonts w:ascii="Verdana" w:eastAsia="Times New Roman" w:hAnsi="Verdana" w:cs="Times New Roman"/>
          <w:sz w:val="15"/>
          <w:szCs w:val="15"/>
          <w:lang w:val="nl-NL"/>
        </w:rPr>
        <w:t>ver</w:t>
      </w:r>
      <w:r w:rsidRPr="00947B9C">
        <w:rPr>
          <w:rFonts w:ascii="Verdana" w:eastAsia="Times New Roman" w:hAnsi="Verdana" w:cs="Times New Roman"/>
          <w:sz w:val="15"/>
          <w:szCs w:val="15"/>
          <w:lang w:val="nl-NL"/>
        </w:rPr>
        <w:t xml:space="preserve"> een specifiek wondprobleem bij een van </w:t>
      </w:r>
      <w:r w:rsidR="00735E96">
        <w:rPr>
          <w:rFonts w:ascii="Verdana" w:eastAsia="Times New Roman" w:hAnsi="Verdana" w:cs="Times New Roman"/>
          <w:sz w:val="15"/>
          <w:szCs w:val="15"/>
          <w:lang w:val="nl-NL"/>
        </w:rPr>
        <w:t xml:space="preserve">hun </w:t>
      </w:r>
      <w:r w:rsidRPr="00947B9C">
        <w:rPr>
          <w:rFonts w:ascii="Verdana" w:eastAsia="Times New Roman" w:hAnsi="Verdana" w:cs="Times New Roman"/>
          <w:sz w:val="15"/>
          <w:szCs w:val="15"/>
          <w:lang w:val="nl-NL"/>
        </w:rPr>
        <w:t>patiënten.</w:t>
      </w:r>
    </w:p>
    <w:sectPr w:rsidR="00403C68" w:rsidRPr="00947B9C" w:rsidSect="00195F3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FBE"/>
    <w:multiLevelType w:val="hybridMultilevel"/>
    <w:tmpl w:val="431870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1F6F4F"/>
    <w:multiLevelType w:val="hybridMultilevel"/>
    <w:tmpl w:val="D9B0C6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6403E44"/>
    <w:multiLevelType w:val="hybridMultilevel"/>
    <w:tmpl w:val="01B85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68"/>
    <w:rsid w:val="00081B35"/>
    <w:rsid w:val="00195F3D"/>
    <w:rsid w:val="001A464C"/>
    <w:rsid w:val="001F013A"/>
    <w:rsid w:val="003B3D52"/>
    <w:rsid w:val="003F7182"/>
    <w:rsid w:val="00403C68"/>
    <w:rsid w:val="006C21DA"/>
    <w:rsid w:val="00735E96"/>
    <w:rsid w:val="007B085D"/>
    <w:rsid w:val="007D7CA5"/>
    <w:rsid w:val="00947B9C"/>
    <w:rsid w:val="009C4942"/>
    <w:rsid w:val="00B16301"/>
    <w:rsid w:val="00B66D0A"/>
    <w:rsid w:val="00D76AC9"/>
    <w:rsid w:val="00ED0276"/>
    <w:rsid w:val="00EF5C7C"/>
    <w:rsid w:val="00F46F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37ED-F4E9-4A66-B346-4F7FF7C5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3C68"/>
    <w:pPr>
      <w:ind w:left="720"/>
      <w:contextualSpacing/>
    </w:pPr>
  </w:style>
  <w:style w:type="paragraph" w:styleId="Koptekst">
    <w:name w:val="header"/>
    <w:basedOn w:val="Standaard"/>
    <w:link w:val="KoptekstChar"/>
    <w:uiPriority w:val="99"/>
    <w:unhideWhenUsed/>
    <w:rsid w:val="00403C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C68"/>
  </w:style>
  <w:style w:type="character" w:styleId="Hyperlink">
    <w:name w:val="Hyperlink"/>
    <w:basedOn w:val="Standaardalinea-lettertype"/>
    <w:uiPriority w:val="99"/>
    <w:unhideWhenUsed/>
    <w:rsid w:val="00F46F3D"/>
    <w:rPr>
      <w:color w:val="0000FF" w:themeColor="hyperlink"/>
      <w:u w:val="single"/>
    </w:rPr>
  </w:style>
  <w:style w:type="table" w:styleId="Tabelraster">
    <w:name w:val="Table Grid"/>
    <w:basedOn w:val="Standaardtabel"/>
    <w:uiPriority w:val="59"/>
    <w:rsid w:val="0073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Bernaerts</dc:creator>
  <cp:lastModifiedBy>Sandra Martin</cp:lastModifiedBy>
  <cp:revision>3</cp:revision>
  <cp:lastPrinted>2013-03-20T08:15:00Z</cp:lastPrinted>
  <dcterms:created xsi:type="dcterms:W3CDTF">2013-10-25T10:31:00Z</dcterms:created>
  <dcterms:modified xsi:type="dcterms:W3CDTF">2017-01-30T14:46:00Z</dcterms:modified>
</cp:coreProperties>
</file>